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Приложение №1 к Документации о закупке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jc w:val="center"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b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Технические требования на выполнение работ</w:t>
      </w:r>
      <w:r>
        <w:rPr>
          <w:rFonts w:ascii="Times New Roman" w:hAnsi="Times New Roman" w:cs="Times New Roman"/>
          <w:b/>
          <w:sz w:val="32"/>
          <w:szCs w:val="32"/>
          <w:highlight w:val="none"/>
        </w:rPr>
      </w:r>
      <w:r>
        <w:rPr>
          <w:rFonts w:ascii="Times New Roman" w:hAnsi="Times New Roman" w:cs="Times New Roman"/>
          <w:b/>
          <w:sz w:val="32"/>
          <w:szCs w:val="32"/>
          <w:highlight w:val="none"/>
        </w:rPr>
      </w:r>
    </w:p>
    <w:p>
      <w:pPr>
        <w:contextualSpacing/>
        <w:jc w:val="center"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contextualSpacing/>
        <w:jc w:val="center"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ОКПД2: 71.12.19.100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Выполнение проектных работ по объекту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«Реконструкция системы гидрозолоудаления энергоблоков ст. № 1,2,3 Нерюнгринской ГРЭС» в рамках реализации инвестиционного проекта Q_505-НГ-161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contextualSpacing/>
        <w:jc w:val="center"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contextualSpacing/>
        <w:jc w:val="center"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Лот №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22123027-ТПИР ОБСЛ-2025-ДГК-НерГРЭС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keepLines/>
        <w:keepNext/>
        <w:shd w:val="clear" w:color="ffffff" w:themeColor="background1" w:fill="ffffff" w:themeFill="background1"/>
        <w:rPr>
          <w:rFonts w:ascii="Times New Roman" w:hAnsi="Times New Roman" w:cs="Times New Roman"/>
          <w:b/>
          <w:i/>
          <w:sz w:val="24"/>
          <w:szCs w:val="24"/>
          <w:highlight w:val="none"/>
        </w:rPr>
        <w:sectPr>
          <w:footnotePr/>
          <w:endnotePr/>
          <w:type w:val="nextPage"/>
          <w:pgSz w:w="11906" w:h="16838" w:orient="portrait"/>
          <w:pgMar w:top="993" w:right="849" w:bottom="992" w:left="1134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</w:p>
    <w:p>
      <w:pPr>
        <w:contextualSpacing/>
        <w:spacing w:after="0"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СОДЕРЖАНИЕ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contextualSpacing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tbl>
      <w:tblPr>
        <w:tblW w:w="5000" w:type="pct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847"/>
        <w:gridCol w:w="8328"/>
        <w:gridCol w:w="693"/>
      </w:tblGrid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Общие сведения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Обозначения и сокращения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закупаемой продукции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Цель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Существующее положение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Таблица 1 . Перечень объектов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1.5.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продукции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объемам и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видам и объемам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Таблица 2. Перечень и объем выполняемых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Таблица 3. Требования по срокам выполнения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качеству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Таблица 4. Требования к качеству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документации по ценообразованию на этапе закупки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Приложения: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vMerge w:val="restart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8328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21"/>
              </w:numPr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Задание на 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693" w:type="dxa"/>
            <w:vMerge w:val="restart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ind w:left="0" w:firstLine="0"/>
              <w:spacing w:line="283" w:lineRule="atLeas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Требования к оформлению и составлению документации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ценообразованию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pStyle w:val="895"/>
              <w:contextualSpacing/>
              <w:ind w:left="0" w:firstLine="0"/>
              <w:spacing w:line="283" w:lineRule="atLeas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хемы расположения первичного оборудования системы гидрозолоудаления энергоблоков ст. № 1,2,3.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47" w:type="dxa"/>
            <w:vMerge w:val="restart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8328" w:type="dxa"/>
            <w:vMerge w:val="restart"/>
            <w:textDirection w:val="lrTb"/>
            <w:noWrap w:val="false"/>
          </w:tcPr>
          <w:p>
            <w:pPr>
              <w:pStyle w:val="895"/>
              <w:contextualSpacing/>
              <w:ind w:left="0" w:firstLine="0"/>
              <w:spacing w:line="283" w:lineRule="atLeas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Сертификаты качества на угли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Денисовского и Право-Кабактинского разрезов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93" w:type="dxa"/>
            <w:vMerge w:val="restart"/>
            <w:textDirection w:val="lrTb"/>
            <w:noWrap w:val="false"/>
          </w:tcPr>
          <w:p>
            <w:pPr>
              <w:pStyle w:val="895"/>
              <w:contextualSpacing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spacing w:line="57" w:lineRule="atLeast"/>
        <w:shd w:val="clear" w:color="ffffff" w:themeColor="background1" w:fill="ffffff" w:themeFill="background1"/>
        <w:rPr>
          <w:rFonts w:ascii="Times New Roman" w:hAnsi="Times New Roman" w:cs="Times New Roman"/>
          <w:b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br w:type="page" w:clear="all"/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</w:p>
    <w:p>
      <w:pPr>
        <w:pStyle w:val="714"/>
        <w:numPr>
          <w:ilvl w:val="0"/>
          <w:numId w:val="1"/>
        </w:numPr>
        <w:contextualSpacing/>
        <w:ind w:left="0" w:firstLine="709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contextualSpacing/>
        <w:ind w:firstLine="709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1.1. Обозначения и сокращения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tbl>
      <w:tblPr>
        <w:tblW w:w="9780" w:type="dxa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82"/>
        <w:gridCol w:w="7998"/>
      </w:tblGrid>
      <w:tr>
        <w:tblPrEx/>
        <w:trPr>
          <w:jc w:val="center"/>
          <w:trHeight w:val="33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2" w:type="dxa"/>
            <w:vAlign w:val="center"/>
            <w:textDirection w:val="lrTb"/>
            <w:noWrap w:val="false"/>
          </w:tcPr>
          <w:p>
            <w:pPr>
              <w:pStyle w:val="895"/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ffff0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0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ГЗУ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ffff00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ffff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vAlign w:val="center"/>
            <w:textDirection w:val="lrTb"/>
            <w:noWrap w:val="false"/>
          </w:tcPr>
          <w:p>
            <w:pPr>
              <w:pStyle w:val="895"/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shd w:val="clear" w:color="auto" w:fill="ffff0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0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Гидрозолоудалени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shd w:val="clear" w:color="auto" w:fill="ffff00"/>
              </w:rPr>
            </w:r>
          </w:p>
        </w:tc>
      </w:tr>
    </w:tbl>
    <w:p>
      <w:pPr>
        <w:pStyle w:val="717"/>
        <w:contextualSpacing/>
        <w:ind w:left="57" w:firstLine="652"/>
        <w:spacing w:before="12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1.2. Наименование закупаемой продукции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left="57" w:firstLine="652"/>
        <w:jc w:val="both"/>
        <w:spacing w:before="120" w:after="120" w:line="276" w:lineRule="auto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Выполнение проектных работ по объекту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«Реконструкция системы гидрозолоудаления энергоблоков ст. № 1,2,3 Нерюнгринской ГРЭС» в рамках реализации инвестиционного проекта Q_505-НГ-161.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Границы проектирования: Эрлифтные установки, турбовоздуходувки   Котлоагрегатов ст. №1, 2, 3. Главный корпус СП НГРЭС.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contextualSpacing/>
        <w:ind w:left="57" w:firstLine="652"/>
        <w:spacing w:before="24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1.3. Цель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contextualSpacing/>
        <w:ind w:left="57" w:firstLine="652"/>
        <w:jc w:val="both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Цел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ью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выполнения работ является разработка проекта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на реконструкцию системы гидрозолоудаления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с дальнейшей реализацией всех мероприятий, изложенных в проекте.</w:t>
      </w:r>
      <w:r>
        <w:rPr>
          <w:rFonts w:ascii="Times New Roman" w:hAnsi="Times New Roman" w:eastAsia="Times New Roman" w:cs="Times New Roman"/>
          <w:b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contextualSpacing/>
        <w:ind w:left="57" w:firstLine="652"/>
        <w:jc w:val="both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Разработка проекта направленного на повышение производительности Эрлифтных установок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в связи с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изменением характеристик сжигаемого топлива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котельных агрегатов ТПЕ-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214 СЗХЛ ст. № 1,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2, 3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r>
    </w:p>
    <w:p>
      <w:pPr>
        <w:pStyle w:val="717"/>
        <w:contextualSpacing/>
        <w:ind w:left="57" w:firstLine="652"/>
        <w:jc w:val="both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Установки турбовоздуходувок или турбокомпрессоров повышенной мощности для транспортировки большего объёма  пульпы 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в связи с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изменением характеристик сжигаемого топлив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котельных агрегатов ТПЕ-214 СЗХЛ ст. № 1,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2, 3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14:ligatures w14:val="none"/>
        </w:rPr>
      </w:r>
    </w:p>
    <w:p>
      <w:pPr>
        <w:pStyle w:val="717"/>
        <w:contextualSpacing/>
        <w:ind w:left="57" w:firstLine="652"/>
        <w:jc w:val="both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Модерн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изация системы гидрозолоудаления для обеспечения бесшлаковочного режима работы при сжигании непроектных углей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contextualSpacing/>
        <w:ind w:left="57" w:firstLine="652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1.4. Существующее положение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Система гидрозолоу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даления котлоагрегатов предназначается для удаления золы и шлака из котлов и транспортирования золошлаковых остатков гидравлическим способом по пульпопроводам на золоотвал.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В состав системы ГЗУ входит: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шнековые транспортеры со шлаковыми дробилками (энергоб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лок № 1);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шнековые транспортеры с наплавленными ножами и подшнековой решеткой (энергоблок № 2, № 3)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шлаковые каналы;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побудительные сопла;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эрлифтные установки (по 2 эрлифта на котлоагрегат);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приемная емкость ГЗУ (багерная);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Багерные насосы ( 3 насоса первого подъема и 3 насоса второго подъёма);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насосы уплотняющей воды БН (3 насоса);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три нитки золо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проводов;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трубопровод осветленной воды;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фильтр осветленной воды;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8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трубопроводы системы водоснабжения ГЗУ с установленной на них арматурой;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6"/>
        <w:ind w:left="644"/>
        <w:jc w:val="both"/>
        <w:spacing w:before="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Технические данные эрлифтных установок: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644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Производительность……………………………………………………………....50 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/ч;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644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сход воздуха........................................................................................................2080 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/ч;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644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Расход воды...................…………………………………………………………...46 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/ч;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644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Расход твердого материала………………………………………………………1,18 т/ч;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644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Глубина з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умпфа……………………………………………………………………6,915м.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Эрлифтная установка состоит из двух идентичных эрлифтов (один рабочий, один резервный) и опорной металлоконструкции.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Эрлифт состоит из следующих узлов: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приемной емкости;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смесителя с всасывающим устройством;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подъемной трубы;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воздухоотделителя;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воздухопроводов;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водоводов;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9"/>
        </w:numPr>
        <w:ind w:left="0" w:firstLine="1134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нагнетателя воздуха.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7"/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Приемная емкость эрлифта представляет собой металлическую трубу диаметром 2 м и предназначена для размещения в ней смесителя с всасывающим устройством и является резервной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емкостью для пульпы, что обеспечивает более устойчивую работу эрлифта.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Смеситель предназначен для смешивания сжатого воздуха с пульпой и подачи ее из приемной емкости в подъемную трубу. Смеситель с всасывающим устройством состоит из трубы подпитки приемно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й емкости, обсадного устройства, всасывающей трубы, камеры смешения, составляющей нижнюю часть подъемной трубы. Нижний конец всасывающей трубы имеет коническую форму. Вокруг нижней части подъемной трубы установлена труба подпитки, в которую поступает освет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ленная вода во внутрь всасывающего устройства.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Воздухоотделитель предназначен для удаления воздуха из пульпы и подачи ее в пульпопровод и состоит из двух частей: верхней, включающей в себя патрубок, отражатель, корпус и крышку, и нижней, включающей в себя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центральную трубу диаметром 325 мм, корпус и сливную трубу.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Для обеспечения эрлифтов воздухом установлены два воздухонагнетателя  ВЭР (отм. 0,0 м. рядом с эрлифтами) типа ТВ-80-1,8 (один - рабочий, другой - резервный):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Start w:id="7" w:name="_Toc190438442"/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Технические данные ТВ-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80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-1,8.</w:t>
      </w:r>
      <w:bookmarkEnd w:id="7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Производительность……………………………………………………….…...6000м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/ч.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Напор…………………………………………………………………………...1,8кгс/см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Потребляемая мощность……………………………………………..…………..153кВт.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Тип электродвигателя…………………………………………………………...А3315м.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Напряжение…………………………………………………………………………380В.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Тип подшипников………………………………………………………………. качение.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4"/>
        <w:contextualSpacing/>
        <w:spacing w:before="24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Таблица 1. Перечень объектов заказчика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W w:w="10166" w:type="dxa"/>
        <w:tblLayout w:type="fixed"/>
        <w:tblLook w:val="0000" w:firstRow="0" w:lastRow="0" w:firstColumn="0" w:lastColumn="0" w:noHBand="0" w:noVBand="0"/>
      </w:tblPr>
      <w:tblGrid>
        <w:gridCol w:w="817"/>
        <w:gridCol w:w="3147"/>
        <w:gridCol w:w="2659"/>
        <w:gridCol w:w="1960"/>
        <w:gridCol w:w="1583"/>
      </w:tblGrid>
      <w:tr>
        <w:tblPrEx/>
        <w:trPr>
          <w:trHeight w:val="13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7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Расположение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br/>
              <w:t xml:space="preserve">(место производства работ)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0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основного средства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(в отношении которого выполняются работы)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7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«Реконструкция системы гидрозолоудаления энергоблоков ст. № 1,2,3 Нерюнгринской ГРЭС» в рамках реализации инвестиционного проекта Q_505-НГ-161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678995, Россия, РС (Я)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г. Нерюнгри, пгт. Серебряный Бор «Нерюнгринская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ГРЭС»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0" w:type="dxa"/>
            <w:vAlign w:val="center"/>
            <w:textDirection w:val="lrTb"/>
            <w:noWrap w:val="false"/>
          </w:tcPr>
          <w:p>
            <w:pPr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Система гидрозолоудаления энергоблоков ст. № 1,2,3.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Эксплуатирующая организация: СП «Нерюнгринская ГРЭС» АО «ДГК»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717"/>
        <w:contextualSpacing/>
        <w:ind w:firstLine="709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1.5.  Информация в отношении исполнения договора,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contextualSpacing/>
        <w:ind w:firstLine="567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highlight w:val="none"/>
        </w:rPr>
        <w:t xml:space="preserve">Не требуется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714"/>
        <w:numPr>
          <w:ilvl w:val="0"/>
          <w:numId w:val="1"/>
        </w:numPr>
        <w:contextualSpacing/>
        <w:ind w:left="0" w:firstLine="709"/>
        <w:spacing w:before="12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продукции</w:t>
      </w:r>
      <w:r>
        <w:rPr>
          <w:rFonts w:ascii="Times New Roman" w:hAnsi="Times New Roman" w:cs="Times New Roman"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caps/>
          <w:sz w:val="24"/>
          <w:szCs w:val="24"/>
          <w:highlight w:val="none"/>
        </w:rPr>
      </w:r>
    </w:p>
    <w:p>
      <w:pPr>
        <w:pStyle w:val="717"/>
        <w:numPr>
          <w:ilvl w:val="1"/>
          <w:numId w:val="1"/>
        </w:numPr>
        <w:contextualSpacing/>
        <w:ind w:left="0" w:firstLine="709"/>
        <w:spacing w:before="120"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объемам и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6"/>
        <w:contextualSpacing/>
        <w:ind w:firstLine="709"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Требования к видам и объемам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4"/>
        <w:contextualSpacing/>
        <w:spacing w:before="24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Таблица 2. Перечень и объем выполняемых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W w:w="981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9"/>
        <w:gridCol w:w="212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contextualSpacing/>
              <w:keepNext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keepNext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contextualSpacing/>
              <w:keepNext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работ / этапа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9" w:type="dxa"/>
            <w:vAlign w:val="center"/>
            <w:textDirection w:val="lrTb"/>
            <w:noWrap w:val="false"/>
          </w:tcPr>
          <w:p>
            <w:pPr>
              <w:contextualSpacing/>
              <w:keepNext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Align w:val="center"/>
            <w:textDirection w:val="lrTb"/>
            <w:noWrap w:val="false"/>
          </w:tcPr>
          <w:p>
            <w:pPr>
              <w:contextualSpacing/>
              <w:keepNext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1035" w:leader="none"/>
              </w:tabs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Предпроектное обследование и сбор исходных данных.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условная единица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365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общих технических решений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(ОТР)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комплект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рабочей документации, включая сметную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комплект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Экспертиза промышленной безопасности рабочей документации с получением положительного заключения.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условная единица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6"/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4"/>
        <w:contextualSpacing/>
        <w:ind w:firstLine="709"/>
        <w:spacing w:before="24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Таблица 3. Требования по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676"/>
        <w:gridCol w:w="3402"/>
        <w:gridCol w:w="2976"/>
        <w:gridCol w:w="2835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работ/ этапа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началу срока выполнения работ/ этапа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окончанию срока выполнения работ / этапа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4"/>
              </w:numPr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Предпроектное обследование и сбор исходных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 даты следующей за датой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30 календарных дней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4"/>
              </w:numPr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Разработка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общих технических решений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(ОТР).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 даты выполнения обследования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течении 30 календарных дней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4"/>
              </w:numPr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рабочей документации, включая сметную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 даты принятия ОТР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течении 30 календарных дней с даты принятия ОТР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9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4"/>
              </w:numPr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Экспертиза промышленной безопасности рабочей документации с получением положительного заключения.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 даты разработки рабочей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течении 30 календарных дней с даты разработки рабочей документации, но не позднее 31.12.2025г.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  <w:sectPr>
          <w:footnotePr/>
          <w:endnotePr/>
          <w:type w:val="nextPage"/>
          <w:pgSz w:w="11906" w:h="16838" w:orient="portrait"/>
          <w:pgMar w:top="993" w:right="849" w:bottom="992" w:left="1189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7"/>
        <w:numPr>
          <w:ilvl w:val="1"/>
          <w:numId w:val="1"/>
        </w:numPr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качеству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714"/>
        <w:contextualSpacing/>
        <w:spacing w:before="240" w:after="6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Таблица 4. Требования к качеству работ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Наименование работ/этапа работ(позиция №1 Таблицы 1):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Выполнение проектных работ по объекту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 «Реконструкция системы гидрозолоудаления энергоблоков ст. № 1,2,3 Нерюнгринской ГРЭС»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749"/>
        <w:tblW w:w="15725" w:type="dxa"/>
        <w:tblInd w:w="-401" w:type="dxa"/>
        <w:tblLayout w:type="fixed"/>
        <w:tblLook w:val="04A0" w:firstRow="1" w:lastRow="0" w:firstColumn="1" w:lastColumn="0" w:noHBand="0" w:noVBand="1"/>
      </w:tblPr>
      <w:tblGrid>
        <w:gridCol w:w="921"/>
        <w:gridCol w:w="3208"/>
        <w:gridCol w:w="6628"/>
        <w:gridCol w:w="2167"/>
        <w:gridCol w:w="2801"/>
      </w:tblGrid>
      <w:tr>
        <w:tblPrEx/>
        <w:trPr/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before="60" w:after="6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Наименование параме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8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tabs>
                <w:tab w:val="left" w:pos="9921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20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6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Согласие с требованием/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2"/>
              </w:numPr>
              <w:ind w:left="0" w:firstLine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1"/>
                <w:numId w:val="2"/>
              </w:numPr>
              <w:ind w:left="0" w:firstLine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49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1.1.1.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208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18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Общие требования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1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6628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Подробно указано в задании на проектирование (приложение №1 к техническим требованиям)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801" w:type="dxa"/>
            <w:textDirection w:val="lrTb"/>
            <w:noWrap w:val="false"/>
          </w:tcPr>
          <w:p>
            <w:pPr>
              <w:contextualSpacing/>
              <w:ind w:right="154"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(декларация) Участника на выполнение работ, на условиях, указанных в Документации о закупке и не подлежащих изменению по результатам проведения закупки, без направления Участником собственных подробных предложений – по форм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 Технического предложения, установленного Документацией о закупке.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64"/>
        </w:trPr>
        <w:tc>
          <w:tcPr>
            <w:tcBorders>
              <w:top w:val="none" w:color="000000" w:sz="4" w:space="0"/>
              <w:right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1.1.2.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right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3208" w:type="dxa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Предпроектное обследование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right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6628" w:type="dxa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Перед началом проектирования выполнить комплекс обследований, включая сбор исходных данных, в объеме, необходимом для выполнения проектных работ. В том числе определить: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размещение, и техническое состояние существующего первичного оборудования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системы 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дрозолоудаления энергоблоков ст. № 1,2,3;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схему и состав существующей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системы гидрозолоудаления энергоблоков ст. № 1,2,3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ind w:left="0" w:firstLine="0"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есущую способность фундаментов, металлоконструкций существующей системы ГЗУ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Результаты предпроектного обследования согласовать с Заказчиком, отчет с результатами предпроектного обследования оформить отдельным томом в составе ОТР.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73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Предпроектное обследование проводится Подрядчиком самостоятельно, с выездом специалистов на объекты.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казчик обеспечивает доступ на объект и оказывает необходимое содействие в сборе исходных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461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1.1.3.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3208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общих технических решений (ОТР).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628" w:type="dxa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Разработку ОТР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Подготовить технические решения по модернизации существующей системы гидрозолоудаления с выбором состава основного оборудования, с указанием (определением) предварительных стоимостных параметров.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 данном этапе выполнить (но не ограничиваясь):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выполнить оценку и оценить объемы работ для  производительности Эрлифтных установок  в связи с изменением характеристик сжигаемого топлива котельных агрегатов ТПЕ-214 СЗХЛ ст. № 1, 2, 3;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проведение детальных расчетов и математического моделирования гидрогазодинамики системы;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 разработка и расчет технических решений по модернизации эрлифтных установок: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ab/>
              <w:t xml:space="preserve">предусмотреть установку турбовоздуходувок или турбокомпрессоров повышенной мощности для транспортировки большего объёма  пульпы  в связи с изменением характеристик сжигаемого топлива котельных агрегатов ТПЕ-214 СЗХЛ ст. № 1, 2, 3. Оформление технических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ребований на поставку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 оценить необходимость проведения восстановительных  работ существующей системы;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предусмотреть возможность безопасного обслуживания устанавливаемого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предусмотреть установку системы дистанционного управления турбовоздуходувок или турбокомпрессоров,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способ прокладки кабельных трасс в кабельных коробах.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 при необходимости предусмотреть установку новых грузоподъемных механизмов;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 учесть, что работы по реконструкции будут выполняться в условиях работы существующего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определить необходимость монтажа временных участков трубопроводов;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ab/>
              <w:t xml:space="preserve"> основные технические решения должны быть разработаны с учетом обеспечения безопасности обслуживания оборудования; обеспечения надежности работы оборудования; минимизации эксплуатационных затрат; снижение металлоемкости; снижения металлоемкости, охраны 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ружающей среды;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в ОТР должны применяться оборудование и материалы отечественных производителей.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‒</w:t>
              <w:tab/>
              <w:t xml:space="preserve">выполнить оценку величины капитальных затрат на модернизацию.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216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1.1.4.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3208" w:type="dxa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рабочей документации, включая сметную.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628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рабочей документации выполняется на основании утвержденных ОТР. Объём и состав рабочей документации должен соответствовать требованиям Национальног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 стандарта Российской Федерации ГОСТ Р 21.101-2020 «Система проектной документации для строительства. Основные требования к проектной и рабочей документации». При выполнении работ учесть основные технические характеристики оборудования Нерюнгринской ГРЭС.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Объем рабочей документации должен быть достаточным для заказа (изготовления) оборудования и проведения строительно-монтажных работ.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составе РД учесть разработку необходимых комплектов чертежей,  схем принципиальных, монтажных, спецификации оборудования. В составе рабочей документации необходимо разработать план-график строительства объекта с декомпозиционной разбивкой.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Разработать общую пояснительную записку в соответствии с требованиями Постановления Правительства РФ от 16.02.2008 № 87.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Разработать раздел проект организации строительства (ПОС). ПОС оформить приложением к основному комплекту РД. ПОС выполнить в соответствии с требованиями СП 48.13330.201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 «Свод правил. Организация строительства». Содержание ПОС должно соответствовать требованиям пункта 23 раздела 6 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составе ПОС разработать: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календарный план строительства;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ведомости объемов общестроительных, монтажных и специальных строительных работ;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ведомость потребности в строительных конструкциях, изделиях, материалах и оборудовании с распределением по календарным периодам строительства;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перечень работ, для которых необходимо составление актов освидетельствования скрытых работ и актов промежуточной приемки ответственных конструкций (работ), порядок проведения приемочных испытаний (проверок);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краткую пояснительную записку.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При составлении календарного плана строительства учесть сроки изготовления и доставки оборудования к месту строительства.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составе прилагаемых документов к РД разработать: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схемы;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инструкции по эксплуатации устанавливаемого оборудования (системы);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сметную документацию.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Рабочую документацию согласовать с Заказчиком.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216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1.1.5.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320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проектированию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628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предусмотреть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повышение производительности Эрлифтных установок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в связи 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изменением характеристик сжигаемого топлива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котельных агрегатов ТПЕ-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214 СЗХЛ ст. № 1,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2, 3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предусмотреть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становку турбовоздуходувок или турбокомпрессоров повышенной мощности для транспортировки большего объёма  пульпы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связи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изменением характеристик сжигаемого топлива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котельных агрегатов ТПЕ-214 СЗХЛ ст. № 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2, 3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проведение детальных расчетов и математического моделирования гидрогазодинамики системы;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разработка и расчет технических решений по модернизации эрлифтных установок: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предусмотреть возможность безопасного обслуживания устанавливаемого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предусмотреть установку системы дистанционного управления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турбовоздуходувок или турбокомпрессоров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способ прокладки кабельных трасс в кабельных коробах.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21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8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9836" w:type="dxa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982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1.2.1.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right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3208" w:type="dxa"/>
            <w:textDirection w:val="lrTb"/>
            <w:noWrap w:val="false"/>
          </w:tcPr>
          <w:p>
            <w:pPr>
              <w:contextualSpacing/>
              <w:ind w:right="168"/>
              <w:spacing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организации процесса выполнения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6628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 начала выполнения 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абот 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контакты и должность представителя Подрядчика, ответственного за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чение всего срока их выполнения.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101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1.2.2.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right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320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Mar>
              <w:left w:w="108" w:type="dxa"/>
              <w:top w:w="55" w:type="dxa"/>
              <w:right w:w="108" w:type="dxa"/>
              <w:bottom w:w="55" w:type="dxa"/>
            </w:tcMar>
            <w:tcW w:w="662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АО «ДГК» 22.1-504-2023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16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8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1.2.3.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3208" w:type="dxa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tabs>
                <w:tab w:val="left" w:pos="602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Требование к информационной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6628" w:type="dxa"/>
            <w:textDirection w:val="lrTb"/>
            <w:noWrap w:val="false"/>
          </w:tcPr>
          <w:p>
            <w:pPr>
              <w:pStyle w:val="896"/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При пересылке файлов не допускается использование открытых файлообменных сервисов.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1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</w:tcBorders>
            <w:tcW w:w="28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before="6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номенклатуре, характеристикам оборудования и материалов, которые должны быть использованы при проведении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Align w:val="center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Применяемые в проектных решениях изделия, оборудование и материалы должны соответствовать государственным стандартам, иметь соо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Программные продукты, а также отдельные программно-аппаратные средства (системы) в его составе должны иметь соответствующие лицензии.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При разработке рабочей и сметной документации предусматривать материалы, изделия и оборудование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Российского производств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 Постановлениями Правительства РФ от 16.11.2015 №1236,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от 17.07.2015 №719.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3. Должны применяться правила национального режима по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Постановлению Правительства РФ от 23.12.2024 № 1875.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контролю качества работ и материалов/оборудования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1.4.1.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898"/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контролю качества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textDirection w:val="lrTb"/>
            <w:noWrap w:val="false"/>
          </w:tcPr>
          <w:p>
            <w:pPr>
              <w:pStyle w:val="898"/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Заказчик может самостоятельно или с привлечением третьих лиц осуществлять контроль и надзор за ходом и качеством выполняемых Подрядчиком и Субподрядчиками работ, соблюдением сроков и качеством их выполнения, не вмешиваясь при этом в их оперативно-хозяйстве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нную деятельность. Проведение Заказчиком контроля не снимает с Подрядчика ответственности за ненадлежащее выполнение работ.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8"/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1.5.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персоналу подрядчика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114"/>
        </w:trPr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1.5.1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Выполнение работ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ение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1.6.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1.6.1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безопасности выполняемых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textDirection w:val="lrTb"/>
            <w:noWrap w:val="false"/>
          </w:tcPr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Провести инструктаж персонала, задействованного при выполнении работ на территории 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аказчика, обеспечить соблюдение (в том числе указанным персоналом) правил технической эксплуатации электрических станций и сетей, требований охраны труда, пожарной и промышленной безопасности, экологических, санитарных требований и правил, а также иных нор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мативных правовых актов и требований локальных нормативных актов Заказчика.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2"/>
              </w:numPr>
              <w:ind w:left="0" w:firstLine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2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1"/>
                <w:numId w:val="2"/>
              </w:numPr>
              <w:ind w:left="0" w:firstLine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20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2.1.1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Результат выполненных работ должен соответствовать требованиям нормативно-технической документации в течение гарантийного срока.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83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техническим и функциональным характеристикам объекта, которые должны быть достигнут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ы в результате выполнения работ, включая гарантируемые показатели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ind w:left="709"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ind w:left="25"/>
              <w:spacing w:before="60" w:after="6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83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соответствии с ОТР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порядку приемки результатов работ</w:t>
            </w:r>
            <w:r>
              <w:rPr>
                <w:rStyle w:val="899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highlight w:val="none"/>
                <w:shd w:val="clear" w:color="auto" w:fil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3"/>
        </w:trPr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2.3.1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Приемка результатов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Подробно указано в проекте договора (раздел №4),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2.4.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543"/>
        </w:trPr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2.4.1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Документы, передаваемые заказчику по результатам выполненных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ОТР, рабочая и сметная документация.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Документация выдается заказчику в четырех экземплярах в бумажном виде (прошитых, пронумерованных, подписанных, скрепленных печатью организации) и один в электронном на электронном USB носителе.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Формат передаваемой в электронном виде документации: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Текстовая часть – docx, pdf («ПОС» обя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зательно и в pdf и docx) с подписями на титульных листах;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Графическая часть – vsd, dwg, tiff, cdw;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Таблицы данных – pdf, docx, xlsx;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Сметные расчеты – в формате ПК «Гранд-Смета» -  gsfx, Excel - xlsx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Допускается наличие аналогичных программных продук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Таблицы данных – docx, xlsx;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Презентационные материалы – pptx.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2"/>
              </w:numPr>
              <w:ind w:left="0" w:firstLine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tabs>
                <w:tab w:val="left" w:pos="284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При проектировании необходимо руководствоваться последними редакциями документов, необходимых и дей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shd w:val="clear" w:color="auto" w:fill="ffffff"/>
              </w:rPr>
              <w:t xml:space="preserve">ствующих на момент разработки документации, в том числе не указанных в данном разделе. А также: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 Федеральный закон от 29.12.2004 № 190-ФЗ «Градостроительный кодекс Российской Федерации»;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 – Федеральный закон от 30.12.2009 № 384-ФЗ «Технический регламент о безопасности зданий и сооружений»;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Федеральный закон РФ от 27.12.2002 № 184-ФЗ «О техническом регулировании»;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Федеральный закон от 10.01.2002 № 7-ФЗ «Об охране окружающей среды»;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Федеральный закон от 21.12.1994 № 69-ФЗ «О пожарной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Федеральный закон от 21.07.1997 № 116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-ФЗ «О промышленной безопасности опасных производственных объектов»;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Постановления Правительства РФ от 16.09.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2020 № 1479 «Об утверждении Правил противопожарного режима в Российской Федерации»;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Постановления Правительства РФ от 24.12.2020 № 2255 «Об утверждении требований к осветительным устройствам и электрическим лампам, используемым в цепях переменного тока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 целях освещения»;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bidi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Постановление Правительства РФ от 16.11.2015 №1236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жд»;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bidi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Постановление Правительства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от 17.07.2015 №719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 подтверждении производства промышленной продукции на территории Российской Федерации»;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Приказ Министерства энергетики Российской Федерации от 04.10.2022 №1070 «Об утверждении Правил 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й эксплуатации электрических станций и сетей Российской Федерации»;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 Приказ Министерства труда и социальной защиты Российской Федерации от 15.12.2020 №903н «Об утверждении Правил по охране труда при эксплуатации электроустановок»;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Приказ Министерства 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уда и социальной защиты Российской Федерации от 16.11.2020 №782н «Об утверждении Правил по охране труда при работе на высоте»;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Приказ Министерства энергетики РФ от 08.07.2002 №204. Раздел 2. Глава 2.1, 2.3 Правил устройства электроустановок ПУЭ (издание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седьмое);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Приказ Ростехнадзора от 15.12.2020 №529 «Об утверждении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 </w:t>
            </w:r>
            <w:hyperlink r:id="rId9" w:tooltip="kodeks://link/d?nd=573264122&amp;mark=000000000000000000000000000000000000000000000000006520IM&amp;mark=000000000000000000000000000000000000000000000000006520IM" w:history="1">
              <w:r>
                <w:rPr>
                  <w:rStyle w:val="875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none"/>
                  <w:u w:val="none"/>
                </w:rPr>
                <w:t xml:space="preserve">федеральных норм и правил в области промышленной безопасности «Правила промышленной безопасности складов нефти и нефтепродуктов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ГОСТ 31565 - 2012 «Кабельные изделия. Требования пожарн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ГОСТ 22483-2012 «Жилы токопроводящие для кабелей, проводов и шнуров»;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СП 48.13330.2019 Свод правил. Организация строительства;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СП 131.13330.2020. Свод правил. Строительная климатология;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СП 76.13330.2016 «Электротехнические устройс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тва»;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СП 7.13130.2013 «Отопление, вентиляция и кондиционирование Требования пожарной безопасности».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СанПиН 2.2.1/2.1.1.1200-03 «Санитарно-защитные зоны и санитарная классификация предприятий, сооружений и иных объектов»;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 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СО 153-34.21.122-2003 (РД 34.21.122-87) «Инструкция по устройству молниезащиты зданий, сооружений и промышл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енных коммуникаций»;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 ГОСТ Р 21.101-2020 «Система проектной документации для строительства. Основные требования к проектной и рабочей документации»;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 Приказ Министерства энергетики Российской Федерации от 14.05.2019 № 465 «Об утверждении Правил проведени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я технического освидетельствования оборудования, зданий и сооружений объектов электроэнергетики»;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- Другая действующая на момент разработки проектной документации нормативно-техническая документация, действующие законодательные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окументы Российской Федерац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ии и нормативные акты к ним.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52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3208" w:type="dxa"/>
            <w:vAlign w:val="center"/>
            <w:vMerge w:val="restart"/>
            <w:textDirection w:val="lrTb"/>
            <w:noWrap w:val="false"/>
          </w:tcPr>
          <w:p>
            <w:pPr>
              <w:pStyle w:val="896"/>
              <w:contextualSpacing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Требования к 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6628" w:type="dxa"/>
            <w:vAlign w:val="center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Подробно указаны в проекте договора (раздел №7),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83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both"/>
              <w:keepNext/>
              <w:spacing w:before="60" w:after="6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3208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6628" w:type="dxa"/>
            <w:vAlign w:val="center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подрядным организациям подробно указаны в проекте договора (раздел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5.2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320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субподрядным организациям, привлекаемым к выполнению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6628" w:type="dxa"/>
            <w:vAlign w:val="center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привлечению субподрядных организаций подробно указаны в проекте договора (раздел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167" w:type="dxa"/>
            <w:vMerge w:val="restart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28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9836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Прочие требования к выполняемым работам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6.1.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894"/>
              <w:ind w:left="0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Особые условия заказчика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6628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6"/>
              </w:numPr>
              <w:ind w:left="0" w:firstLine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Все замечания, а также несоответствия рабочей документации и проектных решений требованиям действующих нормативных и законодательных актов, устраняются «Подрядчиком» за счет собственных сил и средств, с внесением необходимых исправлений и изменений в докум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ентацию.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При выполнении работ учесть основные технические характеристики оборудования Нерюнгринской ГРЭС.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Не допускается указание в документации, в том числе спецификациях оборудования и материалов, конкретных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производителей. Указываются тип, марка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характеристики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4. В составе рабочей документации предусмотреть: сборочные и деталировочные чертежи, опросные листы для изготовления и заказа необходимого оборудования, узлов и деталей, а также выполнение всего комплекса работ по реализации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бъекта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5. Указать в опросных листах технические характеристики и конструктивные исполнения оборудования, которые требуют при поставке заводы-изготовители.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6. Состав сметной документации должен включать в себя в том числе: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локальные сметы (сметные расчеты) на отдельные виды работ, которые необходимо выполнить по данному объекту;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ведомости объёмов работ;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прайс-листы и технико-коммерческие предложения на материалы и оборудование.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7. Вся разраба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тываемая документация должна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быть согласована в требуемо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 объёме с АО «ДГК» СП «Нерюнгринская ГРЭС»,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 собственниками объектов, технологически связанных с объектом проектирования (при наличии).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8. Рабочая и иная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окументация (с указанием даты внесения изменений), оформленная в устан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овленном порядке (в том числе и с официальными подписями), должна быть представлена в формате Adobe Acrobat.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6"/>
              <w:contextualSpacing/>
              <w:jc w:val="both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Не допускается передача документации в формате Adobe Acrobat с пофайловым разделением страниц.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9. При направлении откорректированных материалов ОТР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(РД) Подрядчиком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4"/>
              <w:ind w:left="0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10. Не допускается передача рабочей доку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ментации в органы экспертизы без получения согласования собственников объектов,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val="clear" w:color="auto" w:fill="ffffff"/>
              </w:rPr>
              <w:t xml:space="preserve">технологически связанных с объектом проектирования, и собственниками объектов (при наличии),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которых предусматривается выполнение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67" w:type="dxa"/>
            <w:textDirection w:val="lrTb"/>
            <w:noWrap w:val="false"/>
          </w:tcPr>
          <w:p>
            <w:pPr>
              <w:pStyle w:val="896"/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80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spacing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  <w:sectPr>
          <w:footnotePr/>
          <w:endnotePr/>
          <w:type w:val="nextPage"/>
          <w:pgSz w:w="16838" w:h="11906" w:orient="landscape"/>
          <w:pgMar w:top="851" w:right="567" w:bottom="851" w:left="992" w:header="709" w:footer="709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numPr>
          <w:ilvl w:val="0"/>
          <w:numId w:val="1"/>
        </w:numPr>
        <w:ind w:left="357" w:hanging="357"/>
        <w:jc w:val="center"/>
        <w:keepLines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Требования к документации по ценообразованию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на этапе закупки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3.2. Дополнительные документы по ценообразованию (сметная докуме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нтация) в состав заявки Участника не включаются.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jc w:val="center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ab/>
        <w:t xml:space="preserve">4. Требования к документации по ценообразованию на этапе заключения (исполнения) договора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4.1 Требования к составлению сметной документации (при заключении договора):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4.1.1.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метная документация разрабатывается Участником, с которым принято решение заключить договор на этапе заключения ( исполнения) договора в соответствие с требованиями по оформлению и составлению документации по ценообразованию ( Приложение №2 к настоящим ТТ)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.1.2. Если стоимость по смете, разработанной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тоимость в сторону ее уменьшения.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End w:id="0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jc w:val="center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ab/>
        <w:t xml:space="preserve">5. Приложения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ind w:firstLine="808"/>
        <w:jc w:val="both"/>
        <w:spacing w:after="0" w:line="276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Приложение №1: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Задание на проектирование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contextualSpacing/>
        <w:jc w:val="both"/>
        <w:spacing w:after="0" w:line="276" w:lineRule="auto"/>
        <w:shd w:val="clear" w:color="ffffff" w:themeColor="background1" w:fill="ffffff" w:themeFill="background1"/>
        <w:tabs>
          <w:tab w:val="left" w:pos="73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 Приложение №2: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оформлению и составлению документаци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 по ценообразованию;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contextualSpacing/>
        <w:jc w:val="both"/>
        <w:spacing w:after="0" w:line="276" w:lineRule="auto"/>
        <w:shd w:val="clear" w:color="ffffff" w:themeColor="background1" w:fill="ffffff" w:themeFill="background1"/>
        <w:tabs>
          <w:tab w:val="left" w:pos="73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Приложение №3: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Схема и состав существующей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shd w:val="clear" w:color="auto" w:fill="ffffff"/>
        </w:rPr>
        <w:t xml:space="preserve">системы гидрозолоудаления энергоблоков ст. № 1,2,3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СП «НГРЭС»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contextualSpacing/>
        <w:jc w:val="both"/>
        <w:spacing w:after="0" w:line="276" w:lineRule="auto"/>
        <w:shd w:val="clear" w:color="ffffff" w:themeColor="background1" w:fill="ffffff" w:themeFill="background1"/>
        <w:tabs>
          <w:tab w:val="left" w:pos="73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4: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none"/>
        </w:rPr>
        <w:t xml:space="preserve">Сертификаты качества на угли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Денисовского и Право-Кабактинского разрезов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96"/>
        <w:contextualSpacing/>
        <w:jc w:val="both"/>
        <w:spacing w:after="0" w:line="57" w:lineRule="atLeast"/>
        <w:shd w:val="clear" w:color="ffffff" w:themeColor="background1" w:fill="ffffff" w:themeFill="background1"/>
        <w:tabs>
          <w:tab w:val="left" w:pos="73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Начальник КТЦ филиала АО «ДГК» «НГРЭС»</w:t>
        <w:tab/>
        <w:tab/>
        <w:tab/>
        <w:tab/>
        <w:tab/>
        <w:t xml:space="preserve">И.С. Никулин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Начальник ОКС филиала АО «ДГК» «НГРЭС»</w:t>
        <w:tab/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И.В. Колоусов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6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Start w:id="1" w:name="_GoBack"/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End w:id="1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04" w:hanging="360"/>
      </w:pPr>
      <w:rPr>
        <w:rFonts w:ascii="Times New Roman" w:hAnsi="Times New Roman" w:cs="Times New Roman"/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24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0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6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8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64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29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6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6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0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2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4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6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29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6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6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0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2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4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6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723"/>
    <w:link w:val="714"/>
    <w:uiPriority w:val="9"/>
    <w:rPr>
      <w:rFonts w:ascii="Arial" w:hAnsi="Arial" w:eastAsia="Arial" w:cs="Arial"/>
      <w:sz w:val="40"/>
      <w:szCs w:val="40"/>
    </w:rPr>
  </w:style>
  <w:style w:type="character" w:styleId="697">
    <w:name w:val="Heading 2 Char"/>
    <w:basedOn w:val="723"/>
    <w:link w:val="715"/>
    <w:uiPriority w:val="9"/>
    <w:rPr>
      <w:rFonts w:ascii="Arial" w:hAnsi="Arial" w:eastAsia="Arial" w:cs="Arial"/>
      <w:sz w:val="34"/>
    </w:rPr>
  </w:style>
  <w:style w:type="character" w:styleId="698">
    <w:name w:val="Heading 3 Char"/>
    <w:basedOn w:val="723"/>
    <w:link w:val="716"/>
    <w:uiPriority w:val="9"/>
    <w:rPr>
      <w:rFonts w:ascii="Arial" w:hAnsi="Arial" w:eastAsia="Arial" w:cs="Arial"/>
      <w:sz w:val="30"/>
      <w:szCs w:val="30"/>
    </w:rPr>
  </w:style>
  <w:style w:type="character" w:styleId="699">
    <w:name w:val="Heading 4 Char"/>
    <w:basedOn w:val="723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>
    <w:name w:val="Heading 5 Char"/>
    <w:basedOn w:val="72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>
    <w:name w:val="Heading 6 Char"/>
    <w:basedOn w:val="72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>
    <w:name w:val="Heading 7 Char"/>
    <w:basedOn w:val="723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8 Char"/>
    <w:basedOn w:val="723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>
    <w:name w:val="Heading 9 Char"/>
    <w:basedOn w:val="723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05">
    <w:name w:val="Title Char"/>
    <w:basedOn w:val="723"/>
    <w:link w:val="735"/>
    <w:uiPriority w:val="10"/>
    <w:rPr>
      <w:sz w:val="48"/>
      <w:szCs w:val="48"/>
    </w:rPr>
  </w:style>
  <w:style w:type="character" w:styleId="706">
    <w:name w:val="Subtitle Char"/>
    <w:basedOn w:val="723"/>
    <w:link w:val="737"/>
    <w:uiPriority w:val="11"/>
    <w:rPr>
      <w:sz w:val="24"/>
      <w:szCs w:val="24"/>
    </w:rPr>
  </w:style>
  <w:style w:type="character" w:styleId="707">
    <w:name w:val="Quote Char"/>
    <w:link w:val="739"/>
    <w:uiPriority w:val="29"/>
    <w:rPr>
      <w:i/>
    </w:rPr>
  </w:style>
  <w:style w:type="character" w:styleId="708">
    <w:name w:val="Intense Quote Char"/>
    <w:link w:val="741"/>
    <w:uiPriority w:val="30"/>
    <w:rPr>
      <w:i/>
    </w:rPr>
  </w:style>
  <w:style w:type="character" w:styleId="709">
    <w:name w:val="Header Char"/>
    <w:basedOn w:val="723"/>
    <w:link w:val="743"/>
    <w:uiPriority w:val="99"/>
  </w:style>
  <w:style w:type="character" w:styleId="710">
    <w:name w:val="Caption Char"/>
    <w:basedOn w:val="747"/>
    <w:link w:val="745"/>
    <w:uiPriority w:val="99"/>
  </w:style>
  <w:style w:type="character" w:styleId="711">
    <w:name w:val="Footnote Text Char"/>
    <w:link w:val="876"/>
    <w:uiPriority w:val="99"/>
    <w:rPr>
      <w:sz w:val="18"/>
    </w:rPr>
  </w:style>
  <w:style w:type="character" w:styleId="712">
    <w:name w:val="Endnote Text Char"/>
    <w:link w:val="879"/>
    <w:uiPriority w:val="99"/>
    <w:rPr>
      <w:sz w:val="20"/>
    </w:rPr>
  </w:style>
  <w:style w:type="paragraph" w:styleId="713" w:default="1">
    <w:name w:val="Normal"/>
    <w:qFormat/>
  </w:style>
  <w:style w:type="paragraph" w:styleId="714">
    <w:name w:val="Heading 1"/>
    <w:basedOn w:val="713"/>
    <w:next w:val="713"/>
    <w:link w:val="72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15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6">
    <w:name w:val="Heading 3"/>
    <w:basedOn w:val="713"/>
    <w:next w:val="713"/>
    <w:link w:val="72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7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0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2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Заголовок 1 Знак"/>
    <w:link w:val="714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link w:val="715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link w:val="716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Заголовок 4 Знак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Title"/>
    <w:basedOn w:val="713"/>
    <w:next w:val="713"/>
    <w:link w:val="736"/>
    <w:uiPriority w:val="10"/>
    <w:qFormat/>
    <w:pPr>
      <w:contextualSpacing/>
      <w:spacing w:before="300"/>
    </w:pPr>
    <w:rPr>
      <w:sz w:val="48"/>
      <w:szCs w:val="48"/>
    </w:rPr>
  </w:style>
  <w:style w:type="character" w:styleId="736" w:customStyle="1">
    <w:name w:val="Заголовок Знак"/>
    <w:link w:val="735"/>
    <w:uiPriority w:val="10"/>
    <w:rPr>
      <w:sz w:val="48"/>
      <w:szCs w:val="48"/>
    </w:rPr>
  </w:style>
  <w:style w:type="paragraph" w:styleId="737">
    <w:name w:val="Subtitle"/>
    <w:basedOn w:val="713"/>
    <w:next w:val="713"/>
    <w:link w:val="738"/>
    <w:uiPriority w:val="11"/>
    <w:qFormat/>
    <w:pPr>
      <w:spacing w:before="200"/>
    </w:pPr>
    <w:rPr>
      <w:sz w:val="24"/>
      <w:szCs w:val="24"/>
    </w:rPr>
  </w:style>
  <w:style w:type="character" w:styleId="738" w:customStyle="1">
    <w:name w:val="Подзаголовок Знак"/>
    <w:link w:val="737"/>
    <w:uiPriority w:val="11"/>
    <w:rPr>
      <w:sz w:val="24"/>
      <w:szCs w:val="24"/>
    </w:rPr>
  </w:style>
  <w:style w:type="paragraph" w:styleId="739">
    <w:name w:val="Quote"/>
    <w:basedOn w:val="713"/>
    <w:next w:val="713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713"/>
    <w:next w:val="713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>
    <w:name w:val="Header"/>
    <w:basedOn w:val="713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 w:customStyle="1">
    <w:name w:val="Верхний колонтитул Знак"/>
    <w:link w:val="743"/>
    <w:uiPriority w:val="99"/>
  </w:style>
  <w:style w:type="paragraph" w:styleId="745">
    <w:name w:val="Footer"/>
    <w:basedOn w:val="713"/>
    <w:link w:val="74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uiPriority w:val="99"/>
  </w:style>
  <w:style w:type="paragraph" w:styleId="747">
    <w:name w:val="Caption"/>
    <w:basedOn w:val="713"/>
    <w:next w:val="713"/>
    <w:link w:val="71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8" w:customStyle="1">
    <w:name w:val="Нижний колонтитул Знак"/>
    <w:link w:val="745"/>
    <w:uiPriority w:val="99"/>
  </w:style>
  <w:style w:type="table" w:styleId="749">
    <w:name w:val="Table Grid"/>
    <w:basedOn w:val="72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0" w:customStyle="1">
    <w:name w:val="Table Grid Light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1">
    <w:name w:val="Plain Table 1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7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9" w:customStyle="1">
    <w:name w:val="Grid Table 4 - Accent 2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0" w:customStyle="1">
    <w:name w:val="Grid Table 4 - Accent 3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1" w:customStyle="1">
    <w:name w:val="Grid Table 4 - Accent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2" w:customStyle="1">
    <w:name w:val="Grid Table 4 - Accent 5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3" w:customStyle="1">
    <w:name w:val="Grid Table 4 - Accent 6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4">
    <w:name w:val="Grid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1">
    <w:name w:val="Grid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3" w:customStyle="1">
    <w:name w:val="Grid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4" w:customStyle="1">
    <w:name w:val="Grid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5" w:customStyle="1">
    <w:name w:val="Grid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6" w:customStyle="1">
    <w:name w:val="Grid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7" w:customStyle="1">
    <w:name w:val="Grid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8">
    <w:name w:val="Grid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>
    <w:name w:val="List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2" w:customStyle="1">
    <w:name w:val="List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3" w:customStyle="1">
    <w:name w:val="List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4" w:customStyle="1">
    <w:name w:val="List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5" w:customStyle="1">
    <w:name w:val="List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6" w:customStyle="1">
    <w:name w:val="List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7">
    <w:name w:val="List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6" w:customStyle="1">
    <w:name w:val="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7" w:customStyle="1">
    <w:name w:val="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8" w:customStyle="1">
    <w:name w:val="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9" w:customStyle="1">
    <w:name w:val="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0" w:customStyle="1">
    <w:name w:val="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1" w:customStyle="1">
    <w:name w:val="Bordered &amp; 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3" w:customStyle="1">
    <w:name w:val="Bordered &amp; 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4" w:customStyle="1">
    <w:name w:val="Bordered &amp; 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5" w:customStyle="1">
    <w:name w:val="Bordered &amp; 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6" w:customStyle="1">
    <w:name w:val="Bordered &amp; 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7" w:customStyle="1">
    <w:name w:val="Bordered &amp; 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8" w:customStyle="1">
    <w:name w:val="Bordered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0" w:customStyle="1">
    <w:name w:val="Bordered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1" w:customStyle="1">
    <w:name w:val="Bordered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2" w:customStyle="1">
    <w:name w:val="Bordered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3" w:customStyle="1">
    <w:name w:val="Bordered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4" w:customStyle="1">
    <w:name w:val="Bordered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563c1" w:themeColor="hyperlink"/>
      <w:u w:val="single"/>
    </w:rPr>
  </w:style>
  <w:style w:type="paragraph" w:styleId="876">
    <w:name w:val="footnote text"/>
    <w:basedOn w:val="713"/>
    <w:link w:val="877"/>
    <w:uiPriority w:val="99"/>
    <w:semiHidden/>
    <w:unhideWhenUsed/>
    <w:pPr>
      <w:spacing w:after="40" w:line="240" w:lineRule="auto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uiPriority w:val="99"/>
    <w:unhideWhenUsed/>
    <w:rPr>
      <w:vertAlign w:val="superscript"/>
    </w:rPr>
  </w:style>
  <w:style w:type="paragraph" w:styleId="879">
    <w:name w:val="endnote text"/>
    <w:basedOn w:val="713"/>
    <w:link w:val="880"/>
    <w:uiPriority w:val="99"/>
    <w:semiHidden/>
    <w:unhideWhenUsed/>
    <w:pPr>
      <w:spacing w:after="0" w:line="240" w:lineRule="auto"/>
    </w:pPr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uiPriority w:val="99"/>
    <w:semiHidden/>
    <w:unhideWhenUsed/>
    <w:rPr>
      <w:vertAlign w:val="superscript"/>
    </w:rPr>
  </w:style>
  <w:style w:type="paragraph" w:styleId="882">
    <w:name w:val="toc 1"/>
    <w:basedOn w:val="713"/>
    <w:next w:val="713"/>
    <w:uiPriority w:val="39"/>
    <w:unhideWhenUsed/>
    <w:pPr>
      <w:spacing w:after="57"/>
    </w:pPr>
  </w:style>
  <w:style w:type="paragraph" w:styleId="883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84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85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86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87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888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889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890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713"/>
    <w:next w:val="713"/>
    <w:uiPriority w:val="99"/>
    <w:unhideWhenUsed/>
    <w:pPr>
      <w:spacing w:after="0"/>
    </w:pPr>
  </w:style>
  <w:style w:type="paragraph" w:styleId="893">
    <w:name w:val="No Spacing"/>
    <w:basedOn w:val="713"/>
    <w:uiPriority w:val="1"/>
    <w:qFormat/>
    <w:pPr>
      <w:spacing w:after="0" w:line="240" w:lineRule="auto"/>
    </w:pPr>
  </w:style>
  <w:style w:type="paragraph" w:styleId="894">
    <w:name w:val="List Paragraph"/>
    <w:basedOn w:val="713"/>
    <w:uiPriority w:val="34"/>
    <w:qFormat/>
    <w:pPr>
      <w:contextualSpacing/>
      <w:ind w:left="720"/>
    </w:pPr>
  </w:style>
  <w:style w:type="paragraph" w:styleId="895" w:customStyle="1">
    <w:name w:val="Содержимое таблицы"/>
    <w:qFormat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6" w:customStyle="1">
    <w:name w:val="Основной текст1"/>
    <w:pPr>
      <w:spacing w:after="14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7" w:customStyle="1">
    <w:name w:val="Основной текст 31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Times New Roman" w:cs="Times New Roman"/>
      <w:color w:val="000000"/>
      <w:sz w:val="24"/>
      <w:szCs w:val="20"/>
      <w:lang w:eastAsia="ru-RU"/>
    </w:rPr>
  </w:style>
  <w:style w:type="paragraph" w:styleId="898" w:customStyle="1">
    <w:name w:val="Текст примечания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9" w:customStyle="1">
    <w:name w:val="комментарий"/>
    <w:qFormat/>
    <w:rPr>
      <w:b/>
      <w:i/>
      <w:shd w:val="clear" w:color="auto" w:fill="ffff9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kodeks://link/d?nd=573264122&amp;mark=000000000000000000000000000000000000000000000000006520IM&amp;mark=000000000000000000000000000000000000000000000000006520I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timirshaekhov_aa</cp:lastModifiedBy>
  <cp:revision>28</cp:revision>
  <dcterms:created xsi:type="dcterms:W3CDTF">2025-05-20T07:20:00Z</dcterms:created>
  <dcterms:modified xsi:type="dcterms:W3CDTF">2025-07-29T00:48:53Z</dcterms:modified>
</cp:coreProperties>
</file>